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E6352" w14:textId="7E0D49D7" w:rsidR="00137C6A" w:rsidRPr="004B35AF" w:rsidRDefault="00137C6A" w:rsidP="004B35AF">
      <w:pPr>
        <w:spacing w:before="120" w:after="120" w:line="240" w:lineRule="auto"/>
        <w:ind w:firstLine="720"/>
        <w:jc w:val="both"/>
        <w:rPr>
          <w:rFonts w:asciiTheme="majorHAnsi" w:eastAsia="PMingLiU" w:hAnsiTheme="majorHAnsi" w:cstheme="majorHAnsi"/>
          <w:sz w:val="28"/>
          <w:szCs w:val="28"/>
        </w:rPr>
      </w:pPr>
      <w:bookmarkStart w:id="0" w:name="_Toc112406915"/>
      <w:r w:rsidRPr="004B35AF">
        <w:rPr>
          <w:rFonts w:asciiTheme="majorHAnsi" w:hAnsiTheme="majorHAnsi" w:cstheme="majorHAnsi"/>
          <w:b/>
          <w:bCs/>
          <w:sz w:val="24"/>
          <w:szCs w:val="24"/>
        </w:rPr>
        <w:t>BÁN KHỐNG</w:t>
      </w:r>
      <w:bookmarkEnd w:id="0"/>
      <w:r w:rsidR="00191A35" w:rsidRPr="004B35AF">
        <w:rPr>
          <w:rFonts w:asciiTheme="majorHAnsi" w:hAnsiTheme="majorHAnsi" w:cstheme="majorHAnsi"/>
          <w:b/>
          <w:bCs/>
          <w:sz w:val="24"/>
          <w:szCs w:val="24"/>
          <w:lang w:val="en-US"/>
        </w:rPr>
        <w:t xml:space="preserve"> </w:t>
      </w:r>
      <w:r w:rsidRPr="004B35AF">
        <w:rPr>
          <w:rFonts w:asciiTheme="majorHAnsi" w:eastAsia="PMingLiU" w:hAnsiTheme="majorHAnsi" w:cstheme="majorHAnsi"/>
          <w:b/>
          <w:bCs/>
          <w:iCs/>
          <w:sz w:val="24"/>
          <w:szCs w:val="24"/>
        </w:rPr>
        <w:t>(</w:t>
      </w:r>
      <w:r w:rsidR="00424104">
        <w:rPr>
          <w:rFonts w:asciiTheme="majorHAnsi" w:eastAsia="PMingLiU" w:hAnsiTheme="majorHAnsi" w:cstheme="majorHAnsi"/>
          <w:b/>
          <w:bCs/>
          <w:iCs/>
          <w:sz w:val="24"/>
          <w:szCs w:val="24"/>
          <w:lang w:val="en-US"/>
        </w:rPr>
        <w:t>S</w:t>
      </w:r>
      <w:r w:rsidR="00D87963" w:rsidRPr="004B35AF">
        <w:rPr>
          <w:rFonts w:asciiTheme="majorHAnsi" w:eastAsia="PMingLiU" w:hAnsiTheme="majorHAnsi" w:cstheme="majorHAnsi"/>
          <w:b/>
          <w:bCs/>
          <w:iCs/>
          <w:sz w:val="24"/>
          <w:szCs w:val="24"/>
        </w:rPr>
        <w:t xml:space="preserve">hort </w:t>
      </w:r>
      <w:r w:rsidR="00D87963">
        <w:rPr>
          <w:rFonts w:asciiTheme="majorHAnsi" w:eastAsia="PMingLiU" w:hAnsiTheme="majorHAnsi" w:cstheme="majorHAnsi"/>
          <w:b/>
          <w:bCs/>
          <w:iCs/>
          <w:sz w:val="24"/>
          <w:szCs w:val="24"/>
          <w:lang w:val="en-US"/>
        </w:rPr>
        <w:t>s</w:t>
      </w:r>
      <w:r w:rsidR="00D87963" w:rsidRPr="004B35AF">
        <w:rPr>
          <w:rFonts w:asciiTheme="majorHAnsi" w:eastAsia="PMingLiU" w:hAnsiTheme="majorHAnsi" w:cstheme="majorHAnsi"/>
          <w:b/>
          <w:bCs/>
          <w:iCs/>
          <w:sz w:val="24"/>
          <w:szCs w:val="24"/>
        </w:rPr>
        <w:t>ales</w:t>
      </w:r>
      <w:r w:rsidRPr="004B35AF">
        <w:rPr>
          <w:rFonts w:asciiTheme="majorHAnsi" w:eastAsia="PMingLiU" w:hAnsiTheme="majorHAnsi" w:cstheme="majorHAnsi"/>
          <w:b/>
          <w:bCs/>
          <w:iCs/>
          <w:sz w:val="24"/>
          <w:szCs w:val="24"/>
        </w:rPr>
        <w:t>)</w:t>
      </w:r>
      <w:r w:rsidR="00D87963">
        <w:rPr>
          <w:rFonts w:asciiTheme="majorHAnsi" w:eastAsia="PMingLiU" w:hAnsiTheme="majorHAnsi" w:cstheme="majorHAnsi"/>
          <w:b/>
          <w:bCs/>
          <w:iCs/>
          <w:sz w:val="24"/>
          <w:szCs w:val="24"/>
          <w:lang w:val="en-US"/>
        </w:rPr>
        <w:t>,</w:t>
      </w:r>
      <w:r w:rsidR="00D87963">
        <w:rPr>
          <w:rFonts w:asciiTheme="majorHAnsi" w:eastAsia="PMingLiU" w:hAnsiTheme="majorHAnsi" w:cstheme="majorHAnsi"/>
          <w:sz w:val="28"/>
          <w:szCs w:val="28"/>
          <w:lang w:val="en-US"/>
        </w:rPr>
        <w:t xml:space="preserve"> </w:t>
      </w:r>
      <w:bookmarkStart w:id="1" w:name="_GoBack"/>
      <w:r w:rsidRPr="004B35AF">
        <w:rPr>
          <w:rFonts w:asciiTheme="majorHAnsi" w:eastAsia="PMingLiU" w:hAnsiTheme="majorHAnsi" w:cstheme="majorHAnsi"/>
          <w:sz w:val="28"/>
          <w:szCs w:val="28"/>
        </w:rPr>
        <w:t xml:space="preserve">một cách kiếm lợi nhuận từ sự tụt giảm giá của một loại chứng khoán như cổ phiếu hay phái sinh trên thị trường chứng khoán. Phần lớn các nhà đầu tư mua chứng khoán nhằm kiếm lợi nhuận từ việc tăng giá trong tương lai, nhưng phương pháp </w:t>
      </w:r>
      <w:r w:rsidR="00AC2D1F">
        <w:rPr>
          <w:rFonts w:asciiTheme="majorHAnsi" w:eastAsia="PMingLiU" w:hAnsiTheme="majorHAnsi" w:cstheme="majorHAnsi"/>
          <w:sz w:val="28"/>
          <w:szCs w:val="28"/>
        </w:rPr>
        <w:t>BK</w:t>
      </w:r>
      <w:r w:rsidRPr="004B35AF">
        <w:rPr>
          <w:rFonts w:asciiTheme="majorHAnsi" w:eastAsia="PMingLiU" w:hAnsiTheme="majorHAnsi" w:cstheme="majorHAnsi"/>
          <w:sz w:val="28"/>
          <w:szCs w:val="28"/>
        </w:rPr>
        <w:t xml:space="preserve"> lại kiếm lợi nhuận nhờ vào việc giá chứng khoán giảm trong tương lai. Để thu lợi từ việc giá chứng khoán đi xuống, người </w:t>
      </w:r>
      <w:r w:rsidR="00AC2D1F">
        <w:rPr>
          <w:rFonts w:asciiTheme="majorHAnsi" w:eastAsia="PMingLiU" w:hAnsiTheme="majorHAnsi" w:cstheme="majorHAnsi"/>
          <w:sz w:val="28"/>
          <w:szCs w:val="28"/>
        </w:rPr>
        <w:t>BK</w:t>
      </w:r>
      <w:r w:rsidRPr="004B35AF">
        <w:rPr>
          <w:rFonts w:asciiTheme="majorHAnsi" w:eastAsia="PMingLiU" w:hAnsiTheme="majorHAnsi" w:cstheme="majorHAnsi"/>
          <w:sz w:val="28"/>
          <w:szCs w:val="28"/>
        </w:rPr>
        <w:t xml:space="preserve"> có thể vay chứng khoán để bán đi tại thời điểm hiện tại, với kỳ vọng chứng khoán đó sẽ giảm giá trong tương lai để người </w:t>
      </w:r>
      <w:r w:rsidR="00AC2D1F">
        <w:rPr>
          <w:rFonts w:asciiTheme="majorHAnsi" w:eastAsia="PMingLiU" w:hAnsiTheme="majorHAnsi" w:cstheme="majorHAnsi"/>
          <w:sz w:val="28"/>
          <w:szCs w:val="28"/>
        </w:rPr>
        <w:t>BK</w:t>
      </w:r>
      <w:r w:rsidRPr="004B35AF">
        <w:rPr>
          <w:rFonts w:asciiTheme="majorHAnsi" w:eastAsia="PMingLiU" w:hAnsiTheme="majorHAnsi" w:cstheme="majorHAnsi"/>
          <w:sz w:val="28"/>
          <w:szCs w:val="28"/>
        </w:rPr>
        <w:t xml:space="preserve"> có thể mua lại với mức giá thấp hơn và hưởng lợi nhuận từ sự chênh lệch giá bán và mua.</w:t>
      </w:r>
    </w:p>
    <w:p w14:paraId="6385063F" w14:textId="68A9DCF2" w:rsidR="00137C6A" w:rsidRPr="00937FBB" w:rsidRDefault="00137C6A" w:rsidP="004B35AF">
      <w:pPr>
        <w:widowControl w:val="0"/>
        <w:spacing w:before="120" w:after="120" w:line="240" w:lineRule="auto"/>
        <w:ind w:firstLine="567"/>
        <w:jc w:val="both"/>
        <w:rPr>
          <w:rFonts w:asciiTheme="majorHAnsi" w:eastAsia="PMingLiU" w:hAnsiTheme="majorHAnsi" w:cstheme="majorHAnsi"/>
          <w:sz w:val="28"/>
          <w:szCs w:val="28"/>
        </w:rPr>
      </w:pPr>
      <w:r w:rsidRPr="00937FBB">
        <w:rPr>
          <w:rFonts w:asciiTheme="majorHAnsi" w:eastAsia="PMingLiU" w:hAnsiTheme="majorHAnsi" w:cstheme="majorHAnsi"/>
          <w:sz w:val="28"/>
          <w:szCs w:val="28"/>
        </w:rPr>
        <w:t xml:space="preserve">Một nhà đầu tư muốn </w:t>
      </w:r>
      <w:r w:rsidR="00AC2D1F">
        <w:rPr>
          <w:rFonts w:asciiTheme="majorHAnsi" w:eastAsia="PMingLiU" w:hAnsiTheme="majorHAnsi" w:cstheme="majorHAnsi"/>
          <w:sz w:val="28"/>
          <w:szCs w:val="28"/>
        </w:rPr>
        <w:t>BK</w:t>
      </w:r>
      <w:r w:rsidRPr="00937FBB">
        <w:rPr>
          <w:rFonts w:asciiTheme="majorHAnsi" w:eastAsia="PMingLiU" w:hAnsiTheme="majorHAnsi" w:cstheme="majorHAnsi"/>
          <w:sz w:val="28"/>
          <w:szCs w:val="28"/>
        </w:rPr>
        <w:t xml:space="preserve"> chứng khoán cần phải tìm một đối tác có nhu cầu cho vay chứng khoán (có thể là môi giới chứng khoán, nhà đầu tư nhỏ lẻ/có tổ chức, nhà tạo lập thị trường). Sau khi thỏa thuận cho vay chứng khoán đã được 2 bên chấp thuận, bên cho vay sẽ chuyển giao tài sản là ch</w:t>
      </w:r>
      <w:r w:rsidRPr="005A0D36">
        <w:rPr>
          <w:rFonts w:asciiTheme="majorHAnsi" w:eastAsia="PMingLiU" w:hAnsiTheme="majorHAnsi" w:cstheme="majorHAnsi"/>
          <w:sz w:val="28"/>
          <w:szCs w:val="28"/>
        </w:rPr>
        <w:t>ứ</w:t>
      </w:r>
      <w:r w:rsidRPr="00937FBB">
        <w:rPr>
          <w:rFonts w:asciiTheme="majorHAnsi" w:eastAsia="PMingLiU" w:hAnsiTheme="majorHAnsi" w:cstheme="majorHAnsi"/>
          <w:sz w:val="28"/>
          <w:szCs w:val="28"/>
        </w:rPr>
        <w:t xml:space="preserve">ng khoán cho bên vay, và bên vay có nhiệm vụ chuyển giao tài sản đảm bảo thế chấp cho khoản vay cho bên cho vay. Tài sản đảm bảo này thường là một mức ký quỹ theo tỷ lệ </w:t>
      </w:r>
      <w:r w:rsidRPr="005A0D36">
        <w:rPr>
          <w:rFonts w:asciiTheme="majorHAnsi" w:eastAsia="PMingLiU" w:hAnsiTheme="majorHAnsi" w:cstheme="majorHAnsi"/>
          <w:sz w:val="28"/>
          <w:szCs w:val="28"/>
        </w:rPr>
        <w:t>nhất định dựa trên</w:t>
      </w:r>
      <w:r w:rsidRPr="00937FBB">
        <w:rPr>
          <w:rFonts w:asciiTheme="majorHAnsi" w:eastAsia="PMingLiU" w:hAnsiTheme="majorHAnsi" w:cstheme="majorHAnsi"/>
          <w:sz w:val="28"/>
          <w:szCs w:val="28"/>
        </w:rPr>
        <w:t xml:space="preserve"> giá trị thị trường của chứng khoán đó và bên đi vay sẽ phải đảm bảo </w:t>
      </w:r>
      <w:r w:rsidRPr="005A0D36">
        <w:rPr>
          <w:rFonts w:asciiTheme="majorHAnsi" w:eastAsia="PMingLiU" w:hAnsiTheme="majorHAnsi" w:cstheme="majorHAnsi"/>
          <w:sz w:val="28"/>
          <w:szCs w:val="28"/>
        </w:rPr>
        <w:t>duy trì</w:t>
      </w:r>
      <w:r w:rsidRPr="00937FBB">
        <w:rPr>
          <w:rFonts w:asciiTheme="majorHAnsi" w:eastAsia="PMingLiU" w:hAnsiTheme="majorHAnsi" w:cstheme="majorHAnsi"/>
          <w:sz w:val="28"/>
          <w:szCs w:val="28"/>
        </w:rPr>
        <w:t xml:space="preserve"> mức ký quỹ này khi giá trị thị trường của chúng khoán đó lên hoặc xuống. Ngoài ra, người vay chứng khoán cũng phải trả cho người cho vay một khoản tương tự như lãi vay, và người cho vay chứng khoán vẫn có quyền được nhận các lợi ích từ chứng khoán đó (cổ tức, </w:t>
      </w:r>
      <w:r w:rsidRPr="005A0D36">
        <w:rPr>
          <w:rFonts w:asciiTheme="majorHAnsi" w:eastAsia="PMingLiU" w:hAnsiTheme="majorHAnsi" w:cstheme="majorHAnsi"/>
          <w:sz w:val="28"/>
          <w:szCs w:val="28"/>
        </w:rPr>
        <w:t xml:space="preserve">quyền nhận cổ phiếu </w:t>
      </w:r>
      <w:r w:rsidRPr="00937FBB">
        <w:rPr>
          <w:rFonts w:asciiTheme="majorHAnsi" w:eastAsia="PMingLiU" w:hAnsiTheme="majorHAnsi" w:cstheme="majorHAnsi"/>
          <w:sz w:val="28"/>
          <w:szCs w:val="28"/>
        </w:rPr>
        <w:t xml:space="preserve">phát hành </w:t>
      </w:r>
      <w:r w:rsidRPr="005A0D36">
        <w:rPr>
          <w:rFonts w:asciiTheme="majorHAnsi" w:eastAsia="PMingLiU" w:hAnsiTheme="majorHAnsi" w:cstheme="majorHAnsi"/>
          <w:sz w:val="28"/>
          <w:szCs w:val="28"/>
        </w:rPr>
        <w:t>thêm</w:t>
      </w:r>
      <w:r w:rsidRPr="00937FBB">
        <w:rPr>
          <w:rFonts w:asciiTheme="majorHAnsi" w:eastAsia="PMingLiU" w:hAnsiTheme="majorHAnsi" w:cstheme="majorHAnsi"/>
          <w:sz w:val="28"/>
          <w:szCs w:val="28"/>
        </w:rPr>
        <w:t>,v.v</w:t>
      </w:r>
      <w:r w:rsidR="00492A0E">
        <w:rPr>
          <w:rFonts w:asciiTheme="majorHAnsi" w:eastAsia="PMingLiU" w:hAnsiTheme="majorHAnsi" w:cstheme="majorHAnsi"/>
          <w:sz w:val="28"/>
          <w:szCs w:val="28"/>
          <w:lang w:val="en-US"/>
        </w:rPr>
        <w:t>.</w:t>
      </w:r>
      <w:r w:rsidRPr="00937FBB">
        <w:rPr>
          <w:rFonts w:asciiTheme="majorHAnsi" w:eastAsia="PMingLiU" w:hAnsiTheme="majorHAnsi" w:cstheme="majorHAnsi"/>
          <w:sz w:val="28"/>
          <w:szCs w:val="28"/>
        </w:rPr>
        <w:t xml:space="preserve">). </w:t>
      </w:r>
    </w:p>
    <w:p w14:paraId="014D8757" w14:textId="358B9A14" w:rsidR="00137C6A" w:rsidRPr="00937FBB" w:rsidRDefault="00137C6A" w:rsidP="004B35AF">
      <w:pPr>
        <w:widowControl w:val="0"/>
        <w:spacing w:before="120" w:after="120" w:line="240" w:lineRule="auto"/>
        <w:ind w:firstLine="567"/>
        <w:jc w:val="both"/>
        <w:rPr>
          <w:rFonts w:asciiTheme="majorHAnsi" w:eastAsia="Times New Roman" w:hAnsiTheme="majorHAnsi" w:cstheme="majorHAnsi"/>
          <w:sz w:val="28"/>
          <w:szCs w:val="28"/>
        </w:rPr>
      </w:pPr>
      <w:r w:rsidRPr="004B35AF">
        <w:rPr>
          <w:rFonts w:asciiTheme="majorHAnsi" w:eastAsia="Times New Roman" w:hAnsiTheme="majorHAnsi" w:cstheme="majorHAnsi"/>
          <w:iCs/>
          <w:sz w:val="28"/>
          <w:szCs w:val="28"/>
        </w:rPr>
        <w:t>Ví dụ</w:t>
      </w:r>
      <w:r w:rsidRPr="00413307">
        <w:rPr>
          <w:rFonts w:asciiTheme="majorHAnsi" w:eastAsia="Times New Roman" w:hAnsiTheme="majorHAnsi" w:cstheme="majorHAnsi"/>
          <w:iCs/>
          <w:sz w:val="28"/>
          <w:szCs w:val="28"/>
        </w:rPr>
        <w:t>:</w:t>
      </w:r>
      <w:r w:rsidRPr="00937FBB">
        <w:rPr>
          <w:rFonts w:asciiTheme="majorHAnsi" w:eastAsia="Times New Roman" w:hAnsiTheme="majorHAnsi" w:cstheme="majorHAnsi"/>
          <w:sz w:val="28"/>
          <w:szCs w:val="28"/>
        </w:rPr>
        <w:t xml:space="preserve"> Giả sử công ty A có thị giá cổ phiếu ở mức 10.000 VNĐ/cổ phiếu. Một nhà đầu tư có thể vay 100 cổ phiếu công ty A từ công ty chứng khoán B và bán đi ngay lập tức để thu về 1.000.000VNĐ. Nếu giá cổ phiếu của công ty A giảm xuống chỉ còn 8.000 VNĐ/cổ phiếu thì nhà đầu tư này chỉ phải bỏ ra 800.000VNĐ để mua lại 100 cổ phiếu và trả cho công ty chứng khoán B. Như vậy nhà đầu tư có lãi 200.000VNĐ. Mặc dù nhà đầu tư này sẽ phải trả ra một khoản lãi vay 100 cổ phiếu công ty A cho công ty chứng khoán B. Bằng cách này, nhà đầu tư vẫn có lãi, </w:t>
      </w:r>
      <w:r w:rsidRPr="005A0D36">
        <w:rPr>
          <w:rFonts w:asciiTheme="majorHAnsi" w:eastAsia="Times New Roman" w:hAnsiTheme="majorHAnsi" w:cstheme="majorHAnsi"/>
          <w:sz w:val="28"/>
          <w:szCs w:val="28"/>
        </w:rPr>
        <w:t xml:space="preserve">với khoản </w:t>
      </w:r>
      <w:r w:rsidRPr="00937FBB">
        <w:rPr>
          <w:rFonts w:asciiTheme="majorHAnsi" w:eastAsia="Times New Roman" w:hAnsiTheme="majorHAnsi" w:cstheme="majorHAnsi"/>
          <w:sz w:val="28"/>
          <w:szCs w:val="28"/>
        </w:rPr>
        <w:t>đầu tư ban đầu</w:t>
      </w:r>
      <w:r w:rsidRPr="005A0D36">
        <w:rPr>
          <w:rFonts w:asciiTheme="majorHAnsi" w:eastAsia="Times New Roman" w:hAnsiTheme="majorHAnsi" w:cstheme="majorHAnsi"/>
          <w:sz w:val="28"/>
          <w:szCs w:val="28"/>
        </w:rPr>
        <w:t xml:space="preserve"> nhỏ là mức ký quỹ nhất định</w:t>
      </w:r>
      <w:r w:rsidRPr="00937FBB">
        <w:rPr>
          <w:rFonts w:asciiTheme="majorHAnsi" w:eastAsia="Times New Roman" w:hAnsiTheme="majorHAnsi" w:cstheme="majorHAnsi"/>
          <w:sz w:val="28"/>
          <w:szCs w:val="28"/>
        </w:rPr>
        <w:t>.</w:t>
      </w:r>
    </w:p>
    <w:p w14:paraId="164DD007" w14:textId="389A7362" w:rsidR="00137C6A" w:rsidRDefault="00137C6A" w:rsidP="004B35AF">
      <w:pPr>
        <w:widowControl w:val="0"/>
        <w:spacing w:before="120" w:after="120" w:line="240" w:lineRule="auto"/>
        <w:ind w:firstLine="567"/>
        <w:jc w:val="both"/>
        <w:rPr>
          <w:rFonts w:asciiTheme="majorHAnsi" w:eastAsia="PMingLiU" w:hAnsiTheme="majorHAnsi" w:cstheme="majorHAnsi"/>
          <w:sz w:val="28"/>
          <w:szCs w:val="28"/>
        </w:rPr>
      </w:pPr>
      <w:r w:rsidRPr="004B35AF">
        <w:rPr>
          <w:rFonts w:asciiTheme="majorHAnsi" w:eastAsia="PMingLiU" w:hAnsiTheme="majorHAnsi" w:cstheme="majorHAnsi"/>
          <w:iCs/>
          <w:sz w:val="28"/>
          <w:szCs w:val="28"/>
        </w:rPr>
        <w:t xml:space="preserve">Các rủi ro của việc </w:t>
      </w:r>
      <w:r w:rsidR="00AC2D1F" w:rsidRPr="004B35AF">
        <w:rPr>
          <w:rFonts w:asciiTheme="majorHAnsi" w:eastAsia="PMingLiU" w:hAnsiTheme="majorHAnsi" w:cstheme="majorHAnsi"/>
          <w:iCs/>
          <w:sz w:val="28"/>
          <w:szCs w:val="28"/>
        </w:rPr>
        <w:t>BK</w:t>
      </w:r>
      <w:r w:rsidR="00C709F7">
        <w:rPr>
          <w:rFonts w:asciiTheme="majorHAnsi" w:eastAsia="PMingLiU" w:hAnsiTheme="majorHAnsi" w:cstheme="majorHAnsi"/>
          <w:iCs/>
          <w:sz w:val="28"/>
          <w:szCs w:val="28"/>
          <w:lang w:val="en-US"/>
        </w:rPr>
        <w:t xml:space="preserve"> </w:t>
      </w:r>
      <w:r w:rsidRPr="00937FBB">
        <w:rPr>
          <w:rFonts w:asciiTheme="majorHAnsi" w:eastAsia="PMingLiU" w:hAnsiTheme="majorHAnsi" w:cstheme="majorHAnsi"/>
          <w:sz w:val="28"/>
          <w:szCs w:val="28"/>
        </w:rPr>
        <w:t>bao gồm</w:t>
      </w:r>
      <w:r w:rsidR="00C709F7">
        <w:rPr>
          <w:rFonts w:asciiTheme="majorHAnsi" w:eastAsia="PMingLiU" w:hAnsiTheme="majorHAnsi" w:cstheme="majorHAnsi"/>
          <w:sz w:val="28"/>
          <w:szCs w:val="28"/>
          <w:lang w:val="en-US"/>
        </w:rPr>
        <w:t>:</w:t>
      </w:r>
      <w:r w:rsidRPr="00937FBB">
        <w:rPr>
          <w:rFonts w:asciiTheme="majorHAnsi" w:eastAsia="PMingLiU" w:hAnsiTheme="majorHAnsi" w:cstheme="majorHAnsi"/>
          <w:sz w:val="28"/>
          <w:szCs w:val="28"/>
        </w:rPr>
        <w:t xml:space="preserve"> việc nhà đầu tư phải xác định các chứng khoán đang được định giá quá cao, tìm được đối tác cho vay đúng loại chứng khoán đó trên thị trường, đảm bảo mức ký quỹ khi vay chứng khoán và trả các khoản lãi vay chứng khoán trong suốt quá trình vay (có thể là rất lâu). Ngoài các rủi ro cơ bản trên, các nhà đầu tư </w:t>
      </w:r>
      <w:r w:rsidR="00AC2D1F">
        <w:rPr>
          <w:rFonts w:asciiTheme="majorHAnsi" w:eastAsia="PMingLiU" w:hAnsiTheme="majorHAnsi" w:cstheme="majorHAnsi"/>
          <w:sz w:val="28"/>
          <w:szCs w:val="28"/>
        </w:rPr>
        <w:t>BK</w:t>
      </w:r>
      <w:r w:rsidRPr="00937FBB">
        <w:rPr>
          <w:rFonts w:asciiTheme="majorHAnsi" w:eastAsia="PMingLiU" w:hAnsiTheme="majorHAnsi" w:cstheme="majorHAnsi"/>
          <w:sz w:val="28"/>
          <w:szCs w:val="28"/>
        </w:rPr>
        <w:t xml:space="preserve"> cũng sẽ phải chịu các rủi ro liên quan đến sự thay đổi chính sách và quy định liên quan đến cho vay và </w:t>
      </w:r>
      <w:r w:rsidR="00AC2D1F">
        <w:rPr>
          <w:rFonts w:asciiTheme="majorHAnsi" w:eastAsia="PMingLiU" w:hAnsiTheme="majorHAnsi" w:cstheme="majorHAnsi"/>
          <w:sz w:val="28"/>
          <w:szCs w:val="28"/>
        </w:rPr>
        <w:t>BK</w:t>
      </w:r>
      <w:r w:rsidRPr="00937FBB">
        <w:rPr>
          <w:rFonts w:asciiTheme="majorHAnsi" w:eastAsia="PMingLiU" w:hAnsiTheme="majorHAnsi" w:cstheme="majorHAnsi"/>
          <w:sz w:val="28"/>
          <w:szCs w:val="28"/>
        </w:rPr>
        <w:t xml:space="preserve"> chứng khoán tại thị trường chứng khoán đó, các rủi ro liên quan đến việc yêu cầu thu hồi chứng khoán của bên cho vay, và rủi ro liên quan đến việc thay đổi lãi vay. Nhìn chung, lợi nhuận đến từ việc </w:t>
      </w:r>
      <w:r w:rsidR="00AC2D1F">
        <w:rPr>
          <w:rFonts w:asciiTheme="majorHAnsi" w:eastAsia="PMingLiU" w:hAnsiTheme="majorHAnsi" w:cstheme="majorHAnsi"/>
          <w:sz w:val="28"/>
          <w:szCs w:val="28"/>
        </w:rPr>
        <w:t>BK</w:t>
      </w:r>
      <w:r w:rsidRPr="00937FBB">
        <w:rPr>
          <w:rFonts w:asciiTheme="majorHAnsi" w:eastAsia="PMingLiU" w:hAnsiTheme="majorHAnsi" w:cstheme="majorHAnsi"/>
          <w:sz w:val="28"/>
          <w:szCs w:val="28"/>
        </w:rPr>
        <w:t xml:space="preserve"> có thể là </w:t>
      </w:r>
      <w:r w:rsidRPr="005A0D36">
        <w:rPr>
          <w:rFonts w:asciiTheme="majorHAnsi" w:eastAsia="PMingLiU" w:hAnsiTheme="majorHAnsi" w:cstheme="majorHAnsi"/>
          <w:sz w:val="28"/>
          <w:szCs w:val="28"/>
        </w:rPr>
        <w:t>rất lớn</w:t>
      </w:r>
      <w:r w:rsidRPr="00937FBB">
        <w:rPr>
          <w:rFonts w:asciiTheme="majorHAnsi" w:eastAsia="PMingLiU" w:hAnsiTheme="majorHAnsi" w:cstheme="majorHAnsi"/>
          <w:sz w:val="28"/>
          <w:szCs w:val="28"/>
        </w:rPr>
        <w:t xml:space="preserve"> nhưng khả năng lỗ khi giá chứng khoán tăng cũng có thể là </w:t>
      </w:r>
      <w:r w:rsidRPr="005A0D36">
        <w:rPr>
          <w:rFonts w:asciiTheme="majorHAnsi" w:eastAsia="PMingLiU" w:hAnsiTheme="majorHAnsi" w:cstheme="majorHAnsi"/>
          <w:sz w:val="28"/>
          <w:szCs w:val="28"/>
        </w:rPr>
        <w:t>rất cao</w:t>
      </w:r>
      <w:r w:rsidRPr="00937FBB">
        <w:rPr>
          <w:rFonts w:asciiTheme="majorHAnsi" w:eastAsia="PMingLiU" w:hAnsiTheme="majorHAnsi" w:cstheme="majorHAnsi"/>
          <w:sz w:val="28"/>
          <w:szCs w:val="28"/>
        </w:rPr>
        <w:t xml:space="preserve">, kèm theo đó là các chi phí từ vay chứng khoán. </w:t>
      </w:r>
    </w:p>
    <w:p w14:paraId="2171C056" w14:textId="3B58FF4A" w:rsidR="00EB755B" w:rsidRPr="004B35AF" w:rsidRDefault="00EB755B" w:rsidP="004B35AF">
      <w:pPr>
        <w:widowControl w:val="0"/>
        <w:spacing w:before="120" w:after="120" w:line="240" w:lineRule="auto"/>
        <w:ind w:firstLine="567"/>
        <w:jc w:val="right"/>
        <w:rPr>
          <w:rFonts w:asciiTheme="majorHAnsi" w:eastAsia="PMingLiU" w:hAnsiTheme="majorHAnsi" w:cstheme="majorHAnsi"/>
          <w:b/>
          <w:bCs/>
          <w:sz w:val="24"/>
          <w:szCs w:val="24"/>
          <w:lang w:val="en-US"/>
        </w:rPr>
      </w:pPr>
      <w:r w:rsidRPr="004B35AF">
        <w:rPr>
          <w:rFonts w:asciiTheme="majorHAnsi" w:eastAsia="PMingLiU" w:hAnsiTheme="majorHAnsi" w:cstheme="majorHAnsi"/>
          <w:b/>
          <w:bCs/>
          <w:sz w:val="24"/>
          <w:szCs w:val="24"/>
          <w:lang w:val="en-US"/>
        </w:rPr>
        <w:t>NGUYỄN THÀNH LONG</w:t>
      </w:r>
    </w:p>
    <w:p w14:paraId="42325198" w14:textId="18495683" w:rsidR="00137C6A" w:rsidRPr="004B35AF" w:rsidRDefault="004E3F32" w:rsidP="004B35AF">
      <w:pPr>
        <w:widowControl w:val="0"/>
        <w:spacing w:before="120" w:after="120" w:line="240" w:lineRule="auto"/>
        <w:jc w:val="both"/>
        <w:rPr>
          <w:rFonts w:asciiTheme="majorHAnsi" w:eastAsia="Calibri" w:hAnsiTheme="majorHAnsi" w:cstheme="majorHAnsi"/>
          <w:b/>
          <w:bCs/>
          <w:sz w:val="24"/>
          <w:szCs w:val="24"/>
          <w:lang w:val="en-US"/>
        </w:rPr>
      </w:pPr>
      <w:proofErr w:type="spellStart"/>
      <w:r>
        <w:rPr>
          <w:rFonts w:asciiTheme="majorHAnsi" w:eastAsia="Calibri" w:hAnsiTheme="majorHAnsi" w:cstheme="majorHAnsi"/>
          <w:b/>
          <w:bCs/>
          <w:sz w:val="24"/>
          <w:szCs w:val="24"/>
          <w:lang w:val="en-US"/>
        </w:rPr>
        <w:lastRenderedPageBreak/>
        <w:t>Tài</w:t>
      </w:r>
      <w:proofErr w:type="spellEnd"/>
      <w:r>
        <w:rPr>
          <w:rFonts w:asciiTheme="majorHAnsi" w:eastAsia="Calibri" w:hAnsiTheme="majorHAnsi" w:cstheme="majorHAnsi"/>
          <w:b/>
          <w:bCs/>
          <w:sz w:val="24"/>
          <w:szCs w:val="24"/>
          <w:lang w:val="en-US"/>
        </w:rPr>
        <w:t xml:space="preserve"> </w:t>
      </w:r>
      <w:proofErr w:type="spellStart"/>
      <w:r>
        <w:rPr>
          <w:rFonts w:asciiTheme="majorHAnsi" w:eastAsia="Calibri" w:hAnsiTheme="majorHAnsi" w:cstheme="majorHAnsi"/>
          <w:b/>
          <w:bCs/>
          <w:sz w:val="24"/>
          <w:szCs w:val="24"/>
          <w:lang w:val="en-US"/>
        </w:rPr>
        <w:t>liệu</w:t>
      </w:r>
      <w:proofErr w:type="spellEnd"/>
      <w:r>
        <w:rPr>
          <w:rFonts w:asciiTheme="majorHAnsi" w:eastAsia="Calibri" w:hAnsiTheme="majorHAnsi" w:cstheme="majorHAnsi"/>
          <w:b/>
          <w:bCs/>
          <w:sz w:val="24"/>
          <w:szCs w:val="24"/>
          <w:lang w:val="en-US"/>
        </w:rPr>
        <w:t xml:space="preserve"> </w:t>
      </w:r>
      <w:proofErr w:type="spellStart"/>
      <w:r>
        <w:rPr>
          <w:rFonts w:asciiTheme="majorHAnsi" w:eastAsia="Calibri" w:hAnsiTheme="majorHAnsi" w:cstheme="majorHAnsi"/>
          <w:b/>
          <w:bCs/>
          <w:sz w:val="24"/>
          <w:szCs w:val="24"/>
          <w:lang w:val="en-US"/>
        </w:rPr>
        <w:t>tham</w:t>
      </w:r>
      <w:proofErr w:type="spellEnd"/>
      <w:r>
        <w:rPr>
          <w:rFonts w:asciiTheme="majorHAnsi" w:eastAsia="Calibri" w:hAnsiTheme="majorHAnsi" w:cstheme="majorHAnsi"/>
          <w:b/>
          <w:bCs/>
          <w:sz w:val="24"/>
          <w:szCs w:val="24"/>
          <w:lang w:val="en-US"/>
        </w:rPr>
        <w:t xml:space="preserve"> </w:t>
      </w:r>
      <w:proofErr w:type="spellStart"/>
      <w:r>
        <w:rPr>
          <w:rFonts w:asciiTheme="majorHAnsi" w:eastAsia="Calibri" w:hAnsiTheme="majorHAnsi" w:cstheme="majorHAnsi"/>
          <w:b/>
          <w:bCs/>
          <w:sz w:val="24"/>
          <w:szCs w:val="24"/>
          <w:lang w:val="en-US"/>
        </w:rPr>
        <w:t>khảo</w:t>
      </w:r>
      <w:proofErr w:type="spellEnd"/>
    </w:p>
    <w:p w14:paraId="1F710A47" w14:textId="5088A63F" w:rsidR="00137C6A" w:rsidRPr="00424104" w:rsidRDefault="00137C6A" w:rsidP="004B35AF">
      <w:pPr>
        <w:widowControl w:val="0"/>
        <w:numPr>
          <w:ilvl w:val="0"/>
          <w:numId w:val="1"/>
        </w:numPr>
        <w:spacing w:before="120" w:after="120" w:line="240" w:lineRule="auto"/>
        <w:jc w:val="both"/>
        <w:rPr>
          <w:rFonts w:asciiTheme="majorHAnsi" w:eastAsia="Calibri" w:hAnsiTheme="majorHAnsi" w:cstheme="majorHAnsi"/>
          <w:sz w:val="24"/>
          <w:szCs w:val="24"/>
          <w:lang w:val="en-US"/>
        </w:rPr>
      </w:pPr>
      <w:proofErr w:type="spellStart"/>
      <w:r w:rsidRPr="00424104">
        <w:rPr>
          <w:rFonts w:asciiTheme="majorHAnsi" w:eastAsia="Calibri" w:hAnsiTheme="majorHAnsi" w:cstheme="majorHAnsi"/>
          <w:sz w:val="24"/>
          <w:szCs w:val="24"/>
          <w:lang w:val="en-US"/>
        </w:rPr>
        <w:t>Dechow</w:t>
      </w:r>
      <w:proofErr w:type="spellEnd"/>
      <w:r w:rsidRPr="00424104">
        <w:rPr>
          <w:rFonts w:asciiTheme="majorHAnsi" w:eastAsia="Calibri" w:hAnsiTheme="majorHAnsi" w:cstheme="majorHAnsi"/>
          <w:sz w:val="24"/>
          <w:szCs w:val="24"/>
          <w:lang w:val="en-US"/>
        </w:rPr>
        <w:t xml:space="preserve">, P.M., Hutton, A.P., </w:t>
      </w:r>
      <w:proofErr w:type="spellStart"/>
      <w:r w:rsidRPr="00424104">
        <w:rPr>
          <w:rFonts w:asciiTheme="majorHAnsi" w:eastAsia="Calibri" w:hAnsiTheme="majorHAnsi" w:cstheme="majorHAnsi"/>
          <w:sz w:val="24"/>
          <w:szCs w:val="24"/>
          <w:lang w:val="en-US"/>
        </w:rPr>
        <w:t>Meulbroek</w:t>
      </w:r>
      <w:proofErr w:type="spellEnd"/>
      <w:r w:rsidRPr="00424104">
        <w:rPr>
          <w:rFonts w:asciiTheme="majorHAnsi" w:eastAsia="Calibri" w:hAnsiTheme="majorHAnsi" w:cstheme="majorHAnsi"/>
          <w:sz w:val="24"/>
          <w:szCs w:val="24"/>
          <w:lang w:val="en-US"/>
        </w:rPr>
        <w:t xml:space="preserve">, L. and Sloan, R.G., </w:t>
      </w:r>
      <w:r w:rsidRPr="00424104">
        <w:rPr>
          <w:rFonts w:asciiTheme="majorHAnsi" w:eastAsia="Calibri" w:hAnsiTheme="majorHAnsi" w:cstheme="majorHAnsi"/>
          <w:i/>
          <w:sz w:val="24"/>
          <w:szCs w:val="24"/>
          <w:lang w:val="en-US"/>
        </w:rPr>
        <w:t>Short-sellers, Fundamental Analysis, and Stock Returns,</w:t>
      </w:r>
      <w:r w:rsidRPr="00424104">
        <w:rPr>
          <w:rFonts w:asciiTheme="majorHAnsi" w:eastAsia="Calibri" w:hAnsiTheme="majorHAnsi" w:cstheme="majorHAnsi"/>
          <w:sz w:val="24"/>
          <w:szCs w:val="24"/>
          <w:lang w:val="en-US"/>
        </w:rPr>
        <w:t xml:space="preserve"> </w:t>
      </w:r>
      <w:r w:rsidRPr="00424104">
        <w:rPr>
          <w:rFonts w:asciiTheme="majorHAnsi" w:eastAsia="Calibri" w:hAnsiTheme="majorHAnsi" w:cstheme="majorHAnsi"/>
          <w:iCs/>
          <w:sz w:val="24"/>
          <w:szCs w:val="24"/>
          <w:lang w:val="en-US"/>
        </w:rPr>
        <w:t>Journal of Financial Economics</w:t>
      </w:r>
      <w:r w:rsidRPr="00424104">
        <w:rPr>
          <w:rFonts w:asciiTheme="majorHAnsi" w:eastAsia="Calibri" w:hAnsiTheme="majorHAnsi" w:cstheme="majorHAnsi"/>
          <w:sz w:val="24"/>
          <w:szCs w:val="24"/>
          <w:lang w:val="en-US"/>
        </w:rPr>
        <w:t xml:space="preserve">, </w:t>
      </w:r>
      <w:r w:rsidRPr="00424104">
        <w:rPr>
          <w:rFonts w:asciiTheme="majorHAnsi" w:eastAsia="Calibri" w:hAnsiTheme="majorHAnsi" w:cstheme="majorHAnsi"/>
          <w:iCs/>
          <w:sz w:val="24"/>
          <w:szCs w:val="24"/>
          <w:lang w:val="en-US"/>
        </w:rPr>
        <w:t>61</w:t>
      </w:r>
      <w:r w:rsidRPr="00424104">
        <w:rPr>
          <w:rFonts w:asciiTheme="majorHAnsi" w:eastAsia="Calibri" w:hAnsiTheme="majorHAnsi" w:cstheme="majorHAnsi"/>
          <w:sz w:val="24"/>
          <w:szCs w:val="24"/>
          <w:lang w:val="en-US"/>
        </w:rPr>
        <w:t xml:space="preserve">(1), </w:t>
      </w:r>
      <w:r w:rsidR="007A414A" w:rsidRPr="00424104">
        <w:rPr>
          <w:rFonts w:asciiTheme="majorHAnsi" w:eastAsia="Calibri" w:hAnsiTheme="majorHAnsi" w:cstheme="majorHAnsi"/>
          <w:sz w:val="24"/>
          <w:szCs w:val="24"/>
          <w:lang w:val="en-US"/>
        </w:rPr>
        <w:t xml:space="preserve">2001, </w:t>
      </w:r>
      <w:r w:rsidRPr="00424104">
        <w:rPr>
          <w:rFonts w:asciiTheme="majorHAnsi" w:eastAsia="Calibri" w:hAnsiTheme="majorHAnsi" w:cstheme="majorHAnsi"/>
          <w:sz w:val="24"/>
          <w:szCs w:val="24"/>
          <w:lang w:val="en-US"/>
        </w:rPr>
        <w:t>pp.77-106.</w:t>
      </w:r>
    </w:p>
    <w:p w14:paraId="0448361D" w14:textId="0C9E867A" w:rsidR="00137C6A" w:rsidRPr="00424104" w:rsidRDefault="00137C6A" w:rsidP="004B35AF">
      <w:pPr>
        <w:widowControl w:val="0"/>
        <w:numPr>
          <w:ilvl w:val="0"/>
          <w:numId w:val="1"/>
        </w:numPr>
        <w:spacing w:before="120" w:after="120" w:line="240" w:lineRule="auto"/>
        <w:jc w:val="both"/>
        <w:rPr>
          <w:rFonts w:asciiTheme="majorHAnsi" w:eastAsia="Calibri" w:hAnsiTheme="majorHAnsi" w:cstheme="majorHAnsi"/>
          <w:sz w:val="24"/>
          <w:szCs w:val="24"/>
          <w:lang w:val="en-US"/>
        </w:rPr>
      </w:pPr>
      <w:proofErr w:type="spellStart"/>
      <w:r w:rsidRPr="00424104">
        <w:rPr>
          <w:rFonts w:asciiTheme="majorHAnsi" w:eastAsia="Calibri" w:hAnsiTheme="majorHAnsi" w:cstheme="majorHAnsi"/>
          <w:sz w:val="24"/>
          <w:szCs w:val="24"/>
          <w:lang w:val="en-US"/>
        </w:rPr>
        <w:t>Engelberg</w:t>
      </w:r>
      <w:proofErr w:type="spellEnd"/>
      <w:r w:rsidRPr="00424104">
        <w:rPr>
          <w:rFonts w:asciiTheme="majorHAnsi" w:eastAsia="Calibri" w:hAnsiTheme="majorHAnsi" w:cstheme="majorHAnsi"/>
          <w:sz w:val="24"/>
          <w:szCs w:val="24"/>
          <w:lang w:val="en-US"/>
        </w:rPr>
        <w:t xml:space="preserve">, J.E., Reed, A.V. and Ringgenberg, M.C., </w:t>
      </w:r>
      <w:r w:rsidRPr="00424104">
        <w:rPr>
          <w:rFonts w:asciiTheme="majorHAnsi" w:eastAsia="Calibri" w:hAnsiTheme="majorHAnsi" w:cstheme="majorHAnsi"/>
          <w:i/>
          <w:sz w:val="24"/>
          <w:szCs w:val="24"/>
          <w:lang w:val="en-US"/>
        </w:rPr>
        <w:t>Short</w:t>
      </w:r>
      <w:r w:rsidRPr="00424104">
        <w:rPr>
          <w:rFonts w:ascii="Cambria Math" w:eastAsia="Calibri" w:hAnsi="Cambria Math" w:cs="Cambria Math"/>
          <w:i/>
          <w:sz w:val="24"/>
          <w:szCs w:val="24"/>
          <w:lang w:val="en-US"/>
        </w:rPr>
        <w:t>‐</w:t>
      </w:r>
      <w:r w:rsidRPr="00424104">
        <w:rPr>
          <w:rFonts w:asciiTheme="majorHAnsi" w:eastAsia="Calibri" w:hAnsiTheme="majorHAnsi" w:cstheme="majorHAnsi"/>
          <w:i/>
          <w:sz w:val="24"/>
          <w:szCs w:val="24"/>
          <w:lang w:val="en-US"/>
        </w:rPr>
        <w:t>Selling Risk,</w:t>
      </w:r>
      <w:r w:rsidRPr="00424104">
        <w:rPr>
          <w:rFonts w:asciiTheme="majorHAnsi" w:eastAsia="Calibri" w:hAnsiTheme="majorHAnsi" w:cstheme="majorHAnsi"/>
          <w:sz w:val="24"/>
          <w:szCs w:val="24"/>
          <w:lang w:val="en-US"/>
        </w:rPr>
        <w:t xml:space="preserve"> </w:t>
      </w:r>
      <w:proofErr w:type="gramStart"/>
      <w:r w:rsidRPr="00424104">
        <w:rPr>
          <w:rFonts w:asciiTheme="majorHAnsi" w:eastAsia="Calibri" w:hAnsiTheme="majorHAnsi" w:cstheme="majorHAnsi"/>
          <w:iCs/>
          <w:sz w:val="24"/>
          <w:szCs w:val="24"/>
          <w:lang w:val="en-US"/>
        </w:rPr>
        <w:t>The</w:t>
      </w:r>
      <w:proofErr w:type="gramEnd"/>
      <w:r w:rsidRPr="00424104">
        <w:rPr>
          <w:rFonts w:asciiTheme="majorHAnsi" w:eastAsia="Calibri" w:hAnsiTheme="majorHAnsi" w:cstheme="majorHAnsi"/>
          <w:iCs/>
          <w:sz w:val="24"/>
          <w:szCs w:val="24"/>
          <w:lang w:val="en-US"/>
        </w:rPr>
        <w:t xml:space="preserve"> Journal of Finance</w:t>
      </w:r>
      <w:r w:rsidRPr="00424104">
        <w:rPr>
          <w:rFonts w:asciiTheme="majorHAnsi" w:eastAsia="Calibri" w:hAnsiTheme="majorHAnsi" w:cstheme="majorHAnsi"/>
          <w:i/>
          <w:iCs/>
          <w:sz w:val="24"/>
          <w:szCs w:val="24"/>
          <w:lang w:val="en-US"/>
        </w:rPr>
        <w:t xml:space="preserve">, </w:t>
      </w:r>
      <w:r w:rsidRPr="00424104">
        <w:rPr>
          <w:rFonts w:asciiTheme="majorHAnsi" w:eastAsia="Calibri" w:hAnsiTheme="majorHAnsi" w:cstheme="majorHAnsi"/>
          <w:iCs/>
          <w:sz w:val="24"/>
          <w:szCs w:val="24"/>
          <w:lang w:val="en-US"/>
        </w:rPr>
        <w:t>2014</w:t>
      </w:r>
      <w:r w:rsidRPr="00424104">
        <w:rPr>
          <w:rFonts w:asciiTheme="majorHAnsi" w:eastAsia="Calibri" w:hAnsiTheme="majorHAnsi" w:cstheme="majorHAnsi"/>
          <w:sz w:val="24"/>
          <w:szCs w:val="24"/>
          <w:lang w:val="en-US"/>
        </w:rPr>
        <w:t>.</w:t>
      </w:r>
    </w:p>
    <w:p w14:paraId="38999F4F" w14:textId="7B1E85EC" w:rsidR="00C53319" w:rsidRPr="00424104" w:rsidRDefault="00C53319" w:rsidP="00054999">
      <w:pPr>
        <w:widowControl w:val="0"/>
        <w:numPr>
          <w:ilvl w:val="0"/>
          <w:numId w:val="1"/>
        </w:numPr>
        <w:spacing w:before="120" w:after="120" w:line="240" w:lineRule="auto"/>
        <w:jc w:val="both"/>
        <w:rPr>
          <w:rFonts w:asciiTheme="majorHAnsi" w:eastAsia="Calibri" w:hAnsiTheme="majorHAnsi" w:cstheme="majorHAnsi"/>
          <w:sz w:val="24"/>
          <w:szCs w:val="24"/>
          <w:lang w:val="en-US"/>
        </w:rPr>
      </w:pPr>
      <w:r w:rsidRPr="00424104">
        <w:rPr>
          <w:rFonts w:asciiTheme="majorHAnsi" w:eastAsia="Calibri" w:hAnsiTheme="majorHAnsi" w:cstheme="majorHAnsi"/>
          <w:sz w:val="24"/>
          <w:szCs w:val="24"/>
          <w:lang w:val="en-US"/>
        </w:rPr>
        <w:t xml:space="preserve">Frank J. </w:t>
      </w:r>
      <w:proofErr w:type="spellStart"/>
      <w:r w:rsidRPr="00424104">
        <w:rPr>
          <w:rFonts w:asciiTheme="majorHAnsi" w:eastAsia="Calibri" w:hAnsiTheme="majorHAnsi" w:cstheme="majorHAnsi"/>
          <w:sz w:val="24"/>
          <w:szCs w:val="24"/>
          <w:lang w:val="en-US"/>
        </w:rPr>
        <w:t>Fabozzi</w:t>
      </w:r>
      <w:proofErr w:type="spellEnd"/>
      <w:r w:rsidRPr="00424104">
        <w:rPr>
          <w:rFonts w:asciiTheme="majorHAnsi" w:eastAsia="Calibri" w:hAnsiTheme="majorHAnsi" w:cstheme="majorHAnsi"/>
          <w:sz w:val="24"/>
          <w:szCs w:val="24"/>
          <w:lang w:val="en-US"/>
        </w:rPr>
        <w:t xml:space="preserve">, </w:t>
      </w:r>
      <w:r w:rsidRPr="00424104">
        <w:rPr>
          <w:rFonts w:asciiTheme="majorHAnsi" w:eastAsia="Calibri" w:hAnsiTheme="majorHAnsi" w:cstheme="majorHAnsi"/>
          <w:i/>
          <w:sz w:val="24"/>
          <w:szCs w:val="24"/>
          <w:lang w:val="en-US"/>
        </w:rPr>
        <w:t>Short Selling: Strategies, Risks, and Rewards</w:t>
      </w:r>
      <w:r w:rsidRPr="00424104">
        <w:rPr>
          <w:rFonts w:asciiTheme="majorHAnsi" w:eastAsia="Calibri" w:hAnsiTheme="majorHAnsi" w:cstheme="majorHAnsi"/>
          <w:sz w:val="24"/>
          <w:szCs w:val="24"/>
          <w:lang w:val="en-US"/>
        </w:rPr>
        <w:t>, 2004.</w:t>
      </w:r>
    </w:p>
    <w:bookmarkEnd w:id="1"/>
    <w:p w14:paraId="6C947DE9" w14:textId="77777777" w:rsidR="000002AF" w:rsidRDefault="000002AF" w:rsidP="004B35AF">
      <w:pPr>
        <w:spacing w:before="120" w:after="120" w:line="240" w:lineRule="auto"/>
      </w:pPr>
    </w:p>
    <w:sectPr w:rsidR="00000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F36D4"/>
    <w:multiLevelType w:val="hybridMultilevel"/>
    <w:tmpl w:val="84949F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6A"/>
    <w:rsid w:val="000002AF"/>
    <w:rsid w:val="00054999"/>
    <w:rsid w:val="00074830"/>
    <w:rsid w:val="00115B61"/>
    <w:rsid w:val="00137C6A"/>
    <w:rsid w:val="00191A35"/>
    <w:rsid w:val="002726E9"/>
    <w:rsid w:val="00280CDC"/>
    <w:rsid w:val="00345D42"/>
    <w:rsid w:val="00413307"/>
    <w:rsid w:val="00424104"/>
    <w:rsid w:val="00492A0E"/>
    <w:rsid w:val="004B35AF"/>
    <w:rsid w:val="004B75E3"/>
    <w:rsid w:val="004E3F32"/>
    <w:rsid w:val="006643CC"/>
    <w:rsid w:val="006A40FD"/>
    <w:rsid w:val="006D3569"/>
    <w:rsid w:val="00786A87"/>
    <w:rsid w:val="007A414A"/>
    <w:rsid w:val="007A4A20"/>
    <w:rsid w:val="009463B2"/>
    <w:rsid w:val="009A7F8C"/>
    <w:rsid w:val="009B6FF0"/>
    <w:rsid w:val="00AC2D1F"/>
    <w:rsid w:val="00B74BF9"/>
    <w:rsid w:val="00BF5940"/>
    <w:rsid w:val="00C21200"/>
    <w:rsid w:val="00C53319"/>
    <w:rsid w:val="00C709F7"/>
    <w:rsid w:val="00CC45EF"/>
    <w:rsid w:val="00D87963"/>
    <w:rsid w:val="00E70285"/>
    <w:rsid w:val="00EB755B"/>
    <w:rsid w:val="00F11BA8"/>
    <w:rsid w:val="00F2055A"/>
    <w:rsid w:val="00F61E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1A35"/>
    <w:pPr>
      <w:spacing w:after="0" w:line="240" w:lineRule="auto"/>
    </w:pPr>
  </w:style>
  <w:style w:type="paragraph" w:styleId="BalloonText">
    <w:name w:val="Balloon Text"/>
    <w:basedOn w:val="Normal"/>
    <w:link w:val="BalloonTextChar"/>
    <w:uiPriority w:val="99"/>
    <w:semiHidden/>
    <w:unhideWhenUsed/>
    <w:rsid w:val="004B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5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1A35"/>
    <w:pPr>
      <w:spacing w:after="0" w:line="240" w:lineRule="auto"/>
    </w:pPr>
  </w:style>
  <w:style w:type="paragraph" w:styleId="BalloonText">
    <w:name w:val="Balloon Text"/>
    <w:basedOn w:val="Normal"/>
    <w:link w:val="BalloonTextChar"/>
    <w:uiPriority w:val="99"/>
    <w:semiHidden/>
    <w:unhideWhenUsed/>
    <w:rsid w:val="004B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4</cp:revision>
  <dcterms:created xsi:type="dcterms:W3CDTF">2024-05-29T07:34:00Z</dcterms:created>
  <dcterms:modified xsi:type="dcterms:W3CDTF">2024-05-30T06:42:00Z</dcterms:modified>
</cp:coreProperties>
</file>